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6B" w:rsidRPr="00A20027" w:rsidRDefault="00407C93" w:rsidP="00A20027">
      <w:r w:rsidRPr="00A20027">
        <w:t xml:space="preserve"> </w:t>
      </w:r>
      <w:r w:rsidR="0069286B" w:rsidRPr="00A20027">
        <w:t>klasa III TA  /D</w:t>
      </w:r>
      <w:r w:rsidR="00A20027" w:rsidRPr="00A20027">
        <w:t>ziałalność gospodarcza/ 4-5.06</w:t>
      </w:r>
      <w:r w:rsidR="0069286B" w:rsidRPr="00A20027">
        <w:t>.2020r.(czwartek i piątek)</w:t>
      </w:r>
    </w:p>
    <w:p w:rsidR="0069286B" w:rsidRPr="00A20027" w:rsidRDefault="0069286B" w:rsidP="00A20027">
      <w:r w:rsidRPr="00A20027">
        <w:t xml:space="preserve">Drogi Uczniu posługując się podręcznikiem ,, Prowadzenie działalności gospodarczej’’  zapoznaj się z następującymi tematami. </w:t>
      </w:r>
    </w:p>
    <w:p w:rsidR="00A20027" w:rsidRPr="00A20027" w:rsidRDefault="0069286B" w:rsidP="00A20027">
      <w:r w:rsidRPr="00A20027">
        <w:t>Temat:</w:t>
      </w:r>
      <w:r w:rsidR="00A20027" w:rsidRPr="00A20027">
        <w:t xml:space="preserve"> Funkcje i konstrukcja biznesplanu</w:t>
      </w:r>
      <w:r w:rsidRPr="00A20027">
        <w:t>.</w:t>
      </w:r>
      <w:r w:rsidR="00A20027" w:rsidRPr="00A20027">
        <w:t xml:space="preserve"> </w:t>
      </w:r>
    </w:p>
    <w:p w:rsidR="0069286B" w:rsidRPr="00A20027" w:rsidRDefault="00A20027" w:rsidP="00A20027">
      <w:r w:rsidRPr="00A20027">
        <w:t>Temat: Analiza finansowa przedsiębiorstwa.</w:t>
      </w:r>
    </w:p>
    <w:p w:rsidR="003662E0" w:rsidRPr="00A20027" w:rsidRDefault="00A20027" w:rsidP="00A20027">
      <w:r w:rsidRPr="00A20027">
        <w:t>Temat</w:t>
      </w:r>
      <w:r w:rsidR="003662E0" w:rsidRPr="00A20027">
        <w:t>:</w:t>
      </w:r>
      <w:r w:rsidR="0051647F" w:rsidRPr="00A20027">
        <w:t xml:space="preserve"> </w:t>
      </w:r>
      <w:r w:rsidRPr="00A20027">
        <w:t>Mierniki i wskaźniki opłacalności /rentowności przedsiębiorstwa.</w:t>
      </w:r>
      <w:bookmarkStart w:id="0" w:name="_GoBack"/>
      <w:bookmarkEnd w:id="0"/>
    </w:p>
    <w:p w:rsidR="0069286B" w:rsidRPr="00A20027" w:rsidRDefault="0069286B" w:rsidP="00A20027">
      <w:r w:rsidRPr="00A20027">
        <w:t>Cele dla ucznia</w:t>
      </w:r>
      <w:r w:rsidR="00F846EA" w:rsidRPr="00A20027">
        <w:t>:</w:t>
      </w:r>
    </w:p>
    <w:p w:rsidR="00A20027" w:rsidRPr="00A20027" w:rsidRDefault="00F846EA" w:rsidP="00A20027">
      <w:r w:rsidRPr="00A20027">
        <w:t>-zna pojęcie</w:t>
      </w:r>
      <w:r w:rsidR="00A20027" w:rsidRPr="00A20027">
        <w:t xml:space="preserve"> analizy finansowej przedsiębiorstwa ;</w:t>
      </w:r>
      <w:r w:rsidRPr="00A20027">
        <w:t xml:space="preserve"> </w:t>
      </w:r>
    </w:p>
    <w:p w:rsidR="00F846EA" w:rsidRPr="00A20027" w:rsidRDefault="00F846EA" w:rsidP="00A20027">
      <w:r w:rsidRPr="00A20027">
        <w:t>-zna</w:t>
      </w:r>
      <w:r w:rsidR="00A20027" w:rsidRPr="00A20027">
        <w:t xml:space="preserve"> pojęcie ,funkcje i konstrukcje biznesplanu;</w:t>
      </w:r>
    </w:p>
    <w:p w:rsidR="0051647F" w:rsidRPr="00A20027" w:rsidRDefault="00F846EA" w:rsidP="00A20027">
      <w:r w:rsidRPr="00A20027">
        <w:t xml:space="preserve">-wie do czego służy </w:t>
      </w:r>
      <w:r w:rsidR="00A20027" w:rsidRPr="00A20027">
        <w:t xml:space="preserve">i </w:t>
      </w:r>
      <w:r w:rsidRPr="00A20027">
        <w:t>o czym informuje</w:t>
      </w:r>
      <w:r w:rsidR="00A20027" w:rsidRPr="00A20027">
        <w:t xml:space="preserve"> analiza finansowa </w:t>
      </w:r>
      <w:r w:rsidR="00A20027" w:rsidRPr="00A20027">
        <w:t xml:space="preserve"> przedsiębiorstwa</w:t>
      </w:r>
      <w:r w:rsidRPr="00A20027">
        <w:t xml:space="preserve">  </w:t>
      </w:r>
      <w:r w:rsidR="00A20027" w:rsidRPr="00A20027">
        <w:t>;</w:t>
      </w:r>
    </w:p>
    <w:p w:rsidR="00A20027" w:rsidRPr="00A20027" w:rsidRDefault="00A20027" w:rsidP="00A20027">
      <w:r w:rsidRPr="00A20027">
        <w:t>-umie poprawnie interpretować wskaźniki rentowności .</w:t>
      </w:r>
    </w:p>
    <w:p w:rsidR="00F846EA" w:rsidRPr="00A20027" w:rsidRDefault="00F846EA" w:rsidP="00A20027">
      <w:r w:rsidRPr="00A20027">
        <w:t xml:space="preserve">Uczniowie ,którzy nie maja podręcznika proszę skorzystać z informacji poniżej </w:t>
      </w:r>
      <w:proofErr w:type="spellStart"/>
      <w:r w:rsidRPr="00A20027">
        <w:t>bądż</w:t>
      </w:r>
      <w:proofErr w:type="spellEnd"/>
      <w:r w:rsidRPr="00A20027">
        <w:t xml:space="preserve"> ze strony internetowej np. </w:t>
      </w:r>
    </w:p>
    <w:p w:rsidR="00F846EA" w:rsidRPr="00A20027" w:rsidRDefault="00A20027" w:rsidP="00A20027">
      <w:pPr>
        <w:rPr>
          <w:rStyle w:val="Hipercze"/>
          <w:rFonts w:cstheme="minorHAnsi"/>
          <w:sz w:val="20"/>
          <w:szCs w:val="20"/>
        </w:rPr>
      </w:pPr>
      <w:hyperlink r:id="rId6" w:history="1">
        <w:r w:rsidR="00F846EA" w:rsidRPr="00A20027">
          <w:rPr>
            <w:rStyle w:val="Hipercze"/>
            <w:rFonts w:cstheme="minorHAnsi"/>
            <w:sz w:val="20"/>
            <w:szCs w:val="20"/>
          </w:rPr>
          <w:t>https://poradnikprzedsiebiorcy.pl/-analiza-wskaznikowa-przedsiebiorstwa-wskazniki-rentownosci</w:t>
        </w:r>
      </w:hyperlink>
    </w:p>
    <w:p w:rsidR="00A20027" w:rsidRPr="00A20027" w:rsidRDefault="00A20027" w:rsidP="00A20027">
      <w:hyperlink r:id="rId7" w:history="1">
        <w:r w:rsidRPr="00A20027">
          <w:rPr>
            <w:color w:val="0000FF"/>
            <w:u w:val="single"/>
          </w:rPr>
          <w:t>https://docplayer.pl/2389752-Biznes-plan-w-praktyce.html</w:t>
        </w:r>
      </w:hyperlink>
    </w:p>
    <w:p w:rsidR="0069286B" w:rsidRPr="00A20027" w:rsidRDefault="0069286B" w:rsidP="00A20027">
      <w:r w:rsidRPr="00A20027">
        <w:t>Jeśli ktoś z Was ma pytania służę pomocą i proszę o kontakt telefoniczny lub pod adresem mailowym:</w:t>
      </w:r>
      <w:r w:rsidRPr="00A20027">
        <w:rPr>
          <w:rFonts w:eastAsiaTheme="minorHAnsi"/>
        </w:rPr>
        <w:t xml:space="preserve"> d_tyborowska@wp.pl</w:t>
      </w:r>
    </w:p>
    <w:p w:rsidR="008E662D" w:rsidRPr="00A20027" w:rsidRDefault="008E662D" w:rsidP="00A20027">
      <w:pPr>
        <w:rPr>
          <w:rFonts w:eastAsia="Times New Roman"/>
        </w:rPr>
      </w:pPr>
      <w:r w:rsidRPr="00A20027">
        <w:rPr>
          <w:rFonts w:eastAsia="Times New Roman"/>
          <w:color w:val="FF0000"/>
        </w:rPr>
        <w:t>Rentowność</w:t>
      </w:r>
      <w:r w:rsidRPr="00A20027">
        <w:rPr>
          <w:rFonts w:eastAsia="Times New Roman"/>
        </w:rPr>
        <w:t xml:space="preserve"> jest parametrem pozwalającym na obiektywną ocenę efektywności działania, między innymi przedsiębiorstwa. Na podstawie wskaźników rentowności można również sprawdzić, jaka jest efektywność gospodarowania aktywami oraz efektywność podejmowanych inwestycji. Jakie są rodzaje wskaźników rentowności oraz w jaki sposób należy je poprawnie interpretować?</w:t>
      </w:r>
    </w:p>
    <w:p w:rsidR="008E662D" w:rsidRPr="00A20027" w:rsidRDefault="008E662D" w:rsidP="00A20027">
      <w:pPr>
        <w:rPr>
          <w:rFonts w:eastAsia="Times New Roman"/>
          <w:color w:val="FF0000"/>
        </w:rPr>
      </w:pPr>
      <w:r w:rsidRPr="00A20027">
        <w:rPr>
          <w:rFonts w:eastAsia="Times New Roman"/>
          <w:color w:val="FF0000"/>
        </w:rPr>
        <w:t>Rodzaje wskaźników rentowności</w:t>
      </w:r>
    </w:p>
    <w:p w:rsidR="008E662D" w:rsidRPr="00A20027" w:rsidRDefault="008E662D" w:rsidP="00A20027">
      <w:pPr>
        <w:rPr>
          <w:rFonts w:eastAsia="Times New Roman"/>
        </w:rPr>
      </w:pPr>
      <w:r w:rsidRPr="00A20027">
        <w:rPr>
          <w:rFonts w:eastAsia="Times New Roman"/>
        </w:rPr>
        <w:t>Rentowność mierzy się z wykorzystaniem wielu różnych czynników, wśród których do najważniejszych zalicza się:</w:t>
      </w:r>
    </w:p>
    <w:p w:rsidR="008E662D" w:rsidRPr="00A20027" w:rsidRDefault="008E662D" w:rsidP="00A20027">
      <w:pPr>
        <w:rPr>
          <w:rFonts w:eastAsia="Times New Roman"/>
        </w:rPr>
      </w:pPr>
      <w:r w:rsidRPr="00A20027">
        <w:rPr>
          <w:rFonts w:eastAsia="Times New Roman"/>
        </w:rPr>
        <w:t>wskaźnik rentowności kapitałów własnych – w skrócie ROE,</w:t>
      </w:r>
    </w:p>
    <w:p w:rsidR="008E662D" w:rsidRPr="00A20027" w:rsidRDefault="008E662D" w:rsidP="00A20027">
      <w:pPr>
        <w:rPr>
          <w:rFonts w:eastAsia="Times New Roman"/>
        </w:rPr>
      </w:pPr>
      <w:r w:rsidRPr="00A20027">
        <w:rPr>
          <w:rFonts w:eastAsia="Times New Roman"/>
        </w:rPr>
        <w:t>wskaźnik rentowności aktywów – w skrócie ROA,</w:t>
      </w:r>
    </w:p>
    <w:p w:rsidR="008E662D" w:rsidRPr="00A20027" w:rsidRDefault="008E662D" w:rsidP="00A20027">
      <w:pPr>
        <w:rPr>
          <w:rFonts w:eastAsia="Times New Roman"/>
        </w:rPr>
      </w:pPr>
      <w:r w:rsidRPr="00A20027">
        <w:rPr>
          <w:rFonts w:eastAsia="Times New Roman"/>
        </w:rPr>
        <w:t>wskaźnik rentowności inwestycji – zwrotu z inwestycji – w skrócie ROI,</w:t>
      </w:r>
    </w:p>
    <w:p w:rsidR="008E662D" w:rsidRPr="00A20027" w:rsidRDefault="008E662D" w:rsidP="00A20027">
      <w:pPr>
        <w:rPr>
          <w:rFonts w:eastAsia="Times New Roman"/>
        </w:rPr>
      </w:pPr>
      <w:r w:rsidRPr="00A20027">
        <w:rPr>
          <w:rFonts w:eastAsia="Times New Roman"/>
        </w:rPr>
        <w:t>wskaźnik rentowności sprzedaży – w skrócie ROS.</w:t>
      </w:r>
    </w:p>
    <w:p w:rsidR="008E662D" w:rsidRPr="00A20027" w:rsidRDefault="008E662D" w:rsidP="00A20027">
      <w:pPr>
        <w:rPr>
          <w:rFonts w:eastAsia="Times New Roman"/>
          <w:color w:val="FF0000"/>
        </w:rPr>
      </w:pPr>
      <w:r w:rsidRPr="00A20027">
        <w:rPr>
          <w:rFonts w:eastAsia="Times New Roman"/>
          <w:color w:val="FF0000"/>
        </w:rPr>
        <w:t>Wskaźniki rentowności</w:t>
      </w:r>
    </w:p>
    <w:p w:rsidR="008E662D" w:rsidRPr="00A20027" w:rsidRDefault="008E662D" w:rsidP="00A20027">
      <w:pPr>
        <w:rPr>
          <w:rFonts w:eastAsia="Times New Roman"/>
          <w:color w:val="FF0000"/>
        </w:rPr>
      </w:pPr>
      <w:r w:rsidRPr="00A20027">
        <w:rPr>
          <w:rFonts w:eastAsia="Times New Roman"/>
          <w:color w:val="FF0000"/>
        </w:rPr>
        <w:t>ROE</w:t>
      </w:r>
    </w:p>
    <w:p w:rsidR="008E662D" w:rsidRPr="00A20027" w:rsidRDefault="008E662D" w:rsidP="00A20027">
      <w:pPr>
        <w:rPr>
          <w:rFonts w:eastAsia="Times New Roman"/>
          <w:color w:val="333333"/>
        </w:rPr>
      </w:pPr>
      <w:r w:rsidRPr="00A20027">
        <w:rPr>
          <w:rFonts w:eastAsia="Times New Roman"/>
          <w:color w:val="333333"/>
        </w:rPr>
        <w:lastRenderedPageBreak/>
        <w:t>ROE (ang. return on equity – stopa zwrotu z kapitału własnego lub rentowność kapitału własnego) – w przedsiębiorczości, wskaźnik rentowności oznaczający jak wiele zysku udało się wygospodarować spółce z wniesionych kapitałów własnych.</w:t>
      </w:r>
    </w:p>
    <w:p w:rsidR="008E662D" w:rsidRPr="00A20027" w:rsidRDefault="008E662D" w:rsidP="00A20027">
      <w:pPr>
        <w:rPr>
          <w:rFonts w:eastAsia="Times New Roman"/>
          <w:color w:val="333333"/>
        </w:rPr>
      </w:pPr>
      <w:r w:rsidRPr="00A20027">
        <w:rPr>
          <w:rFonts w:eastAsia="Times New Roman"/>
          <w:color w:val="333333"/>
        </w:rPr>
        <w:t>Im wartość tego wskaźnika jest wyższa, tym korzystniejsza jest sytuacja firmy. Wyższa efektywność kapitału własnego wiąże się z możliwością uzyskania wyższej nadwyżki finansowej, a co za tym idzie wyższych dywidend.</w:t>
      </w:r>
    </w:p>
    <w:p w:rsidR="008E662D" w:rsidRPr="00A20027" w:rsidRDefault="008E662D" w:rsidP="00A20027">
      <w:pPr>
        <w:rPr>
          <w:rFonts w:eastAsia="Times New Roman"/>
          <w:color w:val="333333"/>
        </w:rPr>
      </w:pPr>
      <w:r w:rsidRPr="00A20027">
        <w:rPr>
          <w:rFonts w:eastAsia="Times New Roman"/>
          <w:noProof/>
          <w:color w:val="333333"/>
        </w:rPr>
        <w:drawing>
          <wp:inline distT="0" distB="0" distL="0" distR="0" wp14:anchorId="0188491E" wp14:editId="6469C708">
            <wp:extent cx="3329940" cy="525780"/>
            <wp:effectExtent l="0" t="0" r="3810" b="7620"/>
            <wp:docPr id="3" name="Obraz 3" descr="/gfx/static/ratios/r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x/static/ratios/ro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525780"/>
                    </a:xfrm>
                    <a:prstGeom prst="rect">
                      <a:avLst/>
                    </a:prstGeom>
                    <a:noFill/>
                    <a:ln>
                      <a:noFill/>
                    </a:ln>
                  </pic:spPr>
                </pic:pic>
              </a:graphicData>
            </a:graphic>
          </wp:inline>
        </w:drawing>
      </w:r>
    </w:p>
    <w:p w:rsidR="008E662D" w:rsidRPr="00A20027" w:rsidRDefault="008E662D" w:rsidP="00A20027">
      <w:pPr>
        <w:rPr>
          <w:rFonts w:eastAsia="Times New Roman"/>
          <w:color w:val="FF0000"/>
        </w:rPr>
      </w:pPr>
      <w:r w:rsidRPr="00A20027">
        <w:rPr>
          <w:rFonts w:eastAsia="Times New Roman"/>
          <w:color w:val="FF0000"/>
        </w:rPr>
        <w:t>ROA</w:t>
      </w:r>
    </w:p>
    <w:p w:rsidR="008E662D" w:rsidRPr="00A20027" w:rsidRDefault="008E662D" w:rsidP="00A20027">
      <w:pPr>
        <w:rPr>
          <w:rFonts w:eastAsia="Times New Roman"/>
          <w:color w:val="333333"/>
        </w:rPr>
      </w:pPr>
      <w:r w:rsidRPr="00A20027">
        <w:rPr>
          <w:rFonts w:eastAsia="Times New Roman"/>
          <w:color w:val="333333"/>
        </w:rPr>
        <w:t xml:space="preserve">ROA (ang. return on </w:t>
      </w:r>
      <w:proofErr w:type="spellStart"/>
      <w:r w:rsidRPr="00A20027">
        <w:rPr>
          <w:rFonts w:eastAsia="Times New Roman"/>
          <w:color w:val="333333"/>
        </w:rPr>
        <w:t>assets</w:t>
      </w:r>
      <w:proofErr w:type="spellEnd"/>
      <w:r w:rsidRPr="00A20027">
        <w:rPr>
          <w:rFonts w:eastAsia="Times New Roman"/>
          <w:color w:val="333333"/>
        </w:rPr>
        <w:t>) - wskaźnik rentowności aktywów.</w:t>
      </w:r>
    </w:p>
    <w:p w:rsidR="008E662D" w:rsidRPr="00A20027" w:rsidRDefault="008E662D" w:rsidP="00A20027">
      <w:pPr>
        <w:rPr>
          <w:rFonts w:eastAsia="Times New Roman"/>
          <w:color w:val="333333"/>
        </w:rPr>
      </w:pPr>
      <w:r w:rsidRPr="00A20027">
        <w:rPr>
          <w:rFonts w:eastAsia="Times New Roman"/>
          <w:color w:val="333333"/>
        </w:rPr>
        <w:t>ROA to stosunek zysku netto spółki do wartości jej aktywów. Może być też obliczany jako iloczyn rentowności sprzedaży oraz wskaźnika obrotu aktywów.</w:t>
      </w:r>
    </w:p>
    <w:p w:rsidR="008E662D" w:rsidRPr="00A20027" w:rsidRDefault="008E662D" w:rsidP="00A20027">
      <w:pPr>
        <w:rPr>
          <w:rFonts w:eastAsia="Times New Roman"/>
          <w:color w:val="333333"/>
        </w:rPr>
      </w:pPr>
      <w:r w:rsidRPr="00A20027">
        <w:rPr>
          <w:rFonts w:eastAsia="Times New Roman"/>
          <w:color w:val="333333"/>
        </w:rPr>
        <w:t>Informuje o zdolności spółki do wypracowywania zysków i efektywności gospodarowania jej majątkiem. Im wyższy jest wskaźnik ROA, tym lepsza jest kondycja finansowa spółki. Wskaźnik istotny m.in. dla instytucji finansowych rozważających udzielenie kredytu i badających możliwości jego spłaty.</w:t>
      </w:r>
    </w:p>
    <w:p w:rsidR="008E662D" w:rsidRPr="00A20027" w:rsidRDefault="008E662D" w:rsidP="00A20027">
      <w:pPr>
        <w:rPr>
          <w:rFonts w:eastAsia="Times New Roman"/>
          <w:color w:val="333333"/>
        </w:rPr>
      </w:pPr>
      <w:r w:rsidRPr="00A20027">
        <w:rPr>
          <w:rFonts w:eastAsia="Times New Roman"/>
          <w:noProof/>
          <w:color w:val="333333"/>
        </w:rPr>
        <w:drawing>
          <wp:inline distT="0" distB="0" distL="0" distR="0" wp14:anchorId="49057485" wp14:editId="7153E5DC">
            <wp:extent cx="3223260" cy="533400"/>
            <wp:effectExtent l="0" t="0" r="0" b="0"/>
            <wp:docPr id="4" name="Obraz 4" descr="/gfx/static/ratios/r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x/static/ratios/ro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260" cy="533400"/>
                    </a:xfrm>
                    <a:prstGeom prst="rect">
                      <a:avLst/>
                    </a:prstGeom>
                    <a:noFill/>
                    <a:ln>
                      <a:noFill/>
                    </a:ln>
                  </pic:spPr>
                </pic:pic>
              </a:graphicData>
            </a:graphic>
          </wp:inline>
        </w:drawing>
      </w:r>
    </w:p>
    <w:p w:rsidR="008E662D" w:rsidRPr="00A20027" w:rsidRDefault="008E662D" w:rsidP="00A20027"/>
    <w:p w:rsidR="008E662D" w:rsidRPr="00A20027" w:rsidRDefault="008E662D" w:rsidP="00A20027">
      <w:pPr>
        <w:rPr>
          <w:rFonts w:eastAsiaTheme="minorHAnsi"/>
          <w:color w:val="FF0000"/>
        </w:rPr>
      </w:pPr>
    </w:p>
    <w:p w:rsidR="008E662D" w:rsidRPr="00A20027" w:rsidRDefault="008E662D" w:rsidP="00A20027">
      <w:pPr>
        <w:rPr>
          <w:rFonts w:eastAsiaTheme="minorHAnsi"/>
          <w:color w:val="FF0000"/>
        </w:rPr>
      </w:pPr>
    </w:p>
    <w:p w:rsidR="00A73D20" w:rsidRPr="00A20027" w:rsidRDefault="0069286B" w:rsidP="00A20027">
      <w:pPr>
        <w:rPr>
          <w:rFonts w:eastAsiaTheme="minorHAnsi"/>
          <w:color w:val="FF0000"/>
        </w:rPr>
      </w:pPr>
      <w:r w:rsidRPr="00A20027">
        <w:rPr>
          <w:rFonts w:eastAsiaTheme="minorHAnsi"/>
          <w:color w:val="FF0000"/>
        </w:rPr>
        <w:t xml:space="preserve"> </w:t>
      </w:r>
      <w:r w:rsidR="00A73D20" w:rsidRPr="00A20027">
        <w:rPr>
          <w:rFonts w:eastAsiaTheme="minorHAnsi"/>
          <w:color w:val="FF0000"/>
        </w:rPr>
        <w:t>Analiza – wskaźniki rentowności (przykładowe zadanie 1)</w:t>
      </w:r>
    </w:p>
    <w:p w:rsidR="00A73D20" w:rsidRPr="00A20027" w:rsidRDefault="00A73D20" w:rsidP="00A20027">
      <w:pPr>
        <w:rPr>
          <w:rFonts w:eastAsiaTheme="minorHAnsi"/>
        </w:rPr>
      </w:pPr>
      <w:r w:rsidRPr="00A20027">
        <w:rPr>
          <w:rFonts w:eastAsiaTheme="minorHAnsi"/>
          <w:noProof/>
        </w:rPr>
        <w:drawing>
          <wp:inline distT="0" distB="0" distL="0" distR="0" wp14:anchorId="3AA61711" wp14:editId="10CFC19E">
            <wp:extent cx="6370320" cy="2606040"/>
            <wp:effectExtent l="0" t="0" r="0" b="3810"/>
            <wp:docPr id="10" name="Obraz 10" descr="https://ekonomista100.pl/wp-content/uploads/2014/08/w.-rentownosc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onomista100.pl/wp-content/uploads/2014/08/w.-rentownosci.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0320" cy="2606040"/>
                    </a:xfrm>
                    <a:prstGeom prst="rect">
                      <a:avLst/>
                    </a:prstGeom>
                    <a:noFill/>
                    <a:ln>
                      <a:noFill/>
                    </a:ln>
                  </pic:spPr>
                </pic:pic>
              </a:graphicData>
            </a:graphic>
          </wp:inline>
        </w:drawing>
      </w:r>
    </w:p>
    <w:p w:rsidR="00A73D20" w:rsidRPr="00A20027" w:rsidRDefault="00A73D20" w:rsidP="00A20027">
      <w:pPr>
        <w:rPr>
          <w:rFonts w:eastAsiaTheme="minorHAnsi"/>
        </w:rPr>
      </w:pPr>
      <w:r w:rsidRPr="00A20027">
        <w:rPr>
          <w:rFonts w:eastAsiaTheme="minorHAnsi"/>
          <w:noProof/>
        </w:rPr>
        <w:lastRenderedPageBreak/>
        <w:drawing>
          <wp:inline distT="0" distB="0" distL="0" distR="0" wp14:anchorId="0D438718" wp14:editId="72A25C23">
            <wp:extent cx="6713220" cy="4488180"/>
            <wp:effectExtent l="0" t="0" r="0" b="7620"/>
            <wp:docPr id="9" name="Obraz 9" descr="https://ekonomista100.pl/wp-content/uploads/2014/08/w.-rentownosci-bilan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konomista100.pl/wp-content/uploads/2014/08/w.-rentownosci-bilan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3220" cy="4488180"/>
                    </a:xfrm>
                    <a:prstGeom prst="rect">
                      <a:avLst/>
                    </a:prstGeom>
                    <a:noFill/>
                    <a:ln>
                      <a:noFill/>
                    </a:ln>
                  </pic:spPr>
                </pic:pic>
              </a:graphicData>
            </a:graphic>
          </wp:inline>
        </w:drawing>
      </w:r>
    </w:p>
    <w:p w:rsidR="00A73D20" w:rsidRPr="00A20027" w:rsidRDefault="00A73D20" w:rsidP="00A20027">
      <w:pPr>
        <w:rPr>
          <w:rFonts w:eastAsiaTheme="minorHAnsi"/>
        </w:rPr>
      </w:pPr>
      <w:r w:rsidRPr="00A20027">
        <w:rPr>
          <w:rFonts w:eastAsiaTheme="minorHAnsi"/>
        </w:rPr>
        <w:t> </w:t>
      </w:r>
    </w:p>
    <w:p w:rsidR="00A73D20" w:rsidRPr="00A20027" w:rsidRDefault="00A73D20" w:rsidP="00A20027">
      <w:pPr>
        <w:rPr>
          <w:rFonts w:eastAsiaTheme="minorHAnsi"/>
        </w:rPr>
      </w:pPr>
      <w:r w:rsidRPr="00A20027">
        <w:rPr>
          <w:rFonts w:eastAsiaTheme="minorHAnsi"/>
          <w:b/>
          <w:bCs/>
          <w:i/>
          <w:iCs/>
        </w:rPr>
        <w:t>Obliczenia, interpretacja i ocena wskaźników rentowności</w:t>
      </w:r>
      <w:r w:rsidR="008E662D" w:rsidRPr="00A20027">
        <w:rPr>
          <w:rFonts w:eastAsiaTheme="minorHAnsi"/>
        </w:rPr>
        <w:t xml:space="preserve"> </w:t>
      </w:r>
      <w:r w:rsidRPr="00A20027">
        <w:rPr>
          <w:rFonts w:eastAsiaTheme="minorHAnsi"/>
          <w:b/>
          <w:bCs/>
          <w:i/>
          <w:iCs/>
        </w:rPr>
        <w:t>do uproszczonego bilansu Spółki Akcyjnej MIKOŁAJ</w:t>
      </w:r>
    </w:p>
    <w:p w:rsidR="00A73D20" w:rsidRPr="00A20027" w:rsidRDefault="00A73D20" w:rsidP="00A20027">
      <w:pPr>
        <w:rPr>
          <w:rFonts w:eastAsiaTheme="minorHAnsi"/>
        </w:rPr>
      </w:pPr>
      <w:r w:rsidRPr="00A20027">
        <w:rPr>
          <w:rFonts w:eastAsiaTheme="minorHAnsi"/>
          <w:b/>
          <w:bCs/>
          <w:i/>
          <w:iCs/>
          <w:noProof/>
        </w:rPr>
        <w:drawing>
          <wp:inline distT="0" distB="0" distL="0" distR="0" wp14:anchorId="59B5A24D" wp14:editId="282039EB">
            <wp:extent cx="5257800" cy="1440180"/>
            <wp:effectExtent l="0" t="0" r="0" b="7620"/>
            <wp:docPr id="8" name="Obraz 8" descr="https://ekonomista100.pl/wp-content/uploads/2014/08/wska%C5%BAnik-rentowno%C5%9Bci-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konomista100.pl/wp-content/uploads/2014/08/wska%C5%BAnik-rentowno%C5%9Bci-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1440180"/>
                    </a:xfrm>
                    <a:prstGeom prst="rect">
                      <a:avLst/>
                    </a:prstGeom>
                    <a:noFill/>
                    <a:ln>
                      <a:noFill/>
                    </a:ln>
                  </pic:spPr>
                </pic:pic>
              </a:graphicData>
            </a:graphic>
          </wp:inline>
        </w:drawing>
      </w:r>
    </w:p>
    <w:p w:rsidR="00A73D20" w:rsidRPr="00A20027" w:rsidRDefault="00A73D20" w:rsidP="00A20027">
      <w:pPr>
        <w:rPr>
          <w:rFonts w:eastAsiaTheme="minorHAnsi"/>
        </w:rPr>
      </w:pPr>
      <w:r w:rsidRPr="00A20027">
        <w:rPr>
          <w:rFonts w:eastAsiaTheme="minorHAnsi"/>
        </w:rPr>
        <w:t>W roku 2012 na 1 złotówkę sprzedaży przypadało 17 groszy zysku, a w 2012 roku z 1 złotówki wartości sprzedanych wyrobów można było wygenerować 18 groszy zysku netto. Można powiedzieć, że rentowność sprzedaży zwiększyła się o 5,14%, co oznacza wzrost opłacalności sprzedaży.</w:t>
      </w:r>
    </w:p>
    <w:p w:rsidR="00A73D20" w:rsidRPr="00A20027" w:rsidRDefault="00A20027" w:rsidP="00A20027">
      <w:pPr>
        <w:rPr>
          <w:rFonts w:eastAsiaTheme="minorHAnsi"/>
        </w:rPr>
      </w:pPr>
      <w:r w:rsidRPr="00A20027">
        <w:rPr>
          <w:rFonts w:eastAsiaTheme="minorHAnsi"/>
        </w:rPr>
        <w:pict>
          <v:rect id="_x0000_i1025" style="width:0;height:0" o:hralign="center" o:hrstd="t" o:hrnoshade="t" o:hr="t" fillcolor="#ddd" stroked="f"/>
        </w:pict>
      </w:r>
    </w:p>
    <w:p w:rsidR="00A73D20" w:rsidRPr="00A20027" w:rsidRDefault="00A73D20" w:rsidP="00A20027">
      <w:pPr>
        <w:rPr>
          <w:rFonts w:eastAsiaTheme="minorHAnsi"/>
        </w:rPr>
      </w:pPr>
      <w:r w:rsidRPr="00A20027">
        <w:rPr>
          <w:rFonts w:eastAsiaTheme="minorHAnsi"/>
          <w:noProof/>
        </w:rPr>
        <w:lastRenderedPageBreak/>
        <w:drawing>
          <wp:inline distT="0" distB="0" distL="0" distR="0" wp14:anchorId="775AACF5" wp14:editId="6CAA22DF">
            <wp:extent cx="5890260" cy="1455420"/>
            <wp:effectExtent l="0" t="0" r="0" b="0"/>
            <wp:docPr id="7" name="Obraz 7" descr="https://ekonomista100.pl/wp-content/uploads/2014/08/wska%C5%BAnik-rentowno%C5%9Bci-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konomista100.pl/wp-content/uploads/2014/08/wska%C5%BAnik-rentowno%C5%9Bci-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0260" cy="1455420"/>
                    </a:xfrm>
                    <a:prstGeom prst="rect">
                      <a:avLst/>
                    </a:prstGeom>
                    <a:noFill/>
                    <a:ln>
                      <a:noFill/>
                    </a:ln>
                  </pic:spPr>
                </pic:pic>
              </a:graphicData>
            </a:graphic>
          </wp:inline>
        </w:drawing>
      </w:r>
    </w:p>
    <w:p w:rsidR="00A73D20" w:rsidRPr="00A20027" w:rsidRDefault="00A73D20" w:rsidP="00A20027">
      <w:pPr>
        <w:rPr>
          <w:rFonts w:eastAsiaTheme="minorHAnsi"/>
        </w:rPr>
      </w:pPr>
      <w:r w:rsidRPr="00A20027">
        <w:rPr>
          <w:rFonts w:eastAsiaTheme="minorHAnsi"/>
        </w:rPr>
        <w:t>W roku 2013 nastąpiła poprawa rentowności majątku (aktywów), bowiem zysk netto przypadający na jednostkę majątku (1 zł) wzrósł o 8,06%. Zaangażowana 1 złotówka majątku przyniosła 31 groszy zysku netto w roku 2012 i 33,5 grosze zysku netto w 2013.</w:t>
      </w:r>
    </w:p>
    <w:p w:rsidR="00A73D20" w:rsidRPr="00A20027" w:rsidRDefault="00A20027" w:rsidP="00A20027">
      <w:pPr>
        <w:rPr>
          <w:rFonts w:eastAsiaTheme="minorHAnsi"/>
        </w:rPr>
      </w:pPr>
      <w:r w:rsidRPr="00A20027">
        <w:rPr>
          <w:rFonts w:eastAsiaTheme="minorHAnsi"/>
        </w:rPr>
        <w:pict>
          <v:rect id="_x0000_i1026" style="width:0;height:0" o:hralign="center" o:hrstd="t" o:hrnoshade="t" o:hr="t" fillcolor="#ddd" stroked="f"/>
        </w:pict>
      </w:r>
    </w:p>
    <w:p w:rsidR="00A73D20" w:rsidRPr="00A20027" w:rsidRDefault="00A73D20" w:rsidP="00A20027">
      <w:pPr>
        <w:rPr>
          <w:rFonts w:eastAsiaTheme="minorHAnsi"/>
        </w:rPr>
      </w:pPr>
      <w:r w:rsidRPr="00A20027">
        <w:rPr>
          <w:rFonts w:eastAsiaTheme="minorHAnsi"/>
          <w:noProof/>
        </w:rPr>
        <w:drawing>
          <wp:inline distT="0" distB="0" distL="0" distR="0" wp14:anchorId="5608A631" wp14:editId="24DC9645">
            <wp:extent cx="5707380" cy="1478280"/>
            <wp:effectExtent l="0" t="0" r="7620" b="7620"/>
            <wp:docPr id="6" name="Obraz 6" descr="https://ekonomista100.pl/wp-content/uploads/2014/08/wska%C5%BAnik-rentowno%C5%9Bci-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konomista100.pl/wp-content/uploads/2014/08/wska%C5%BAnik-rentowno%C5%9Bci-3.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7380" cy="1478280"/>
                    </a:xfrm>
                    <a:prstGeom prst="rect">
                      <a:avLst/>
                    </a:prstGeom>
                    <a:noFill/>
                    <a:ln>
                      <a:noFill/>
                    </a:ln>
                  </pic:spPr>
                </pic:pic>
              </a:graphicData>
            </a:graphic>
          </wp:inline>
        </w:drawing>
      </w:r>
    </w:p>
    <w:p w:rsidR="00A73D20" w:rsidRPr="00A20027" w:rsidRDefault="00A73D20" w:rsidP="00A20027">
      <w:pPr>
        <w:rPr>
          <w:rFonts w:eastAsiaTheme="minorHAnsi"/>
        </w:rPr>
      </w:pPr>
      <w:r w:rsidRPr="00A20027">
        <w:rPr>
          <w:rFonts w:eastAsiaTheme="minorHAnsi"/>
        </w:rPr>
        <w:t>Rentowność kapitałów własnych poprawiła się – wzrost o 6,54% jest dobrą informacją dla akcjonariuszy tej spółki. W roku 2012 na 1 złotówkę zaangażowanych kapitałów własnych przypadało 36,22 grosze, zaś w 2012 roku 38,59 groszy.</w:t>
      </w:r>
    </w:p>
    <w:p w:rsidR="00A73D20" w:rsidRPr="00A20027" w:rsidRDefault="00A20027" w:rsidP="00A20027">
      <w:pPr>
        <w:rPr>
          <w:rFonts w:eastAsiaTheme="minorHAnsi"/>
        </w:rPr>
      </w:pPr>
      <w:r w:rsidRPr="00A20027">
        <w:rPr>
          <w:rFonts w:eastAsiaTheme="minorHAnsi"/>
        </w:rPr>
        <w:pict>
          <v:rect id="_x0000_i1027" style="width:0;height:0" o:hralign="center" o:hrstd="t" o:hrnoshade="t" o:hr="t" fillcolor="#ddd" stroked="f"/>
        </w:pict>
      </w:r>
    </w:p>
    <w:p w:rsidR="00A73D20" w:rsidRPr="00A20027" w:rsidRDefault="00A73D20" w:rsidP="00A20027">
      <w:pPr>
        <w:rPr>
          <w:rFonts w:eastAsiaTheme="minorHAnsi"/>
        </w:rPr>
      </w:pPr>
      <w:r w:rsidRPr="00A20027">
        <w:rPr>
          <w:rFonts w:eastAsiaTheme="minorHAnsi"/>
          <w:noProof/>
        </w:rPr>
        <w:drawing>
          <wp:inline distT="0" distB="0" distL="0" distR="0" wp14:anchorId="3D7DA132" wp14:editId="179DC39F">
            <wp:extent cx="5707380" cy="1508760"/>
            <wp:effectExtent l="0" t="0" r="7620" b="0"/>
            <wp:docPr id="5" name="Obraz 5" descr="https://ekonomista100.pl/wp-content/uploads/2014/08/wska%C5%BAnik-rentowno%C5%9Bci-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konomista100.pl/wp-content/uploads/2014/08/wska%C5%BAnik-rentowno%C5%9Bci-4.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7380" cy="1508760"/>
                    </a:xfrm>
                    <a:prstGeom prst="rect">
                      <a:avLst/>
                    </a:prstGeom>
                    <a:noFill/>
                    <a:ln>
                      <a:noFill/>
                    </a:ln>
                  </pic:spPr>
                </pic:pic>
              </a:graphicData>
            </a:graphic>
          </wp:inline>
        </w:drawing>
      </w:r>
    </w:p>
    <w:p w:rsidR="00A73D20" w:rsidRPr="00A20027" w:rsidRDefault="00A73D20" w:rsidP="00A20027">
      <w:pPr>
        <w:rPr>
          <w:rFonts w:eastAsiaTheme="minorHAnsi"/>
        </w:rPr>
      </w:pPr>
      <w:r w:rsidRPr="00A20027">
        <w:rPr>
          <w:rFonts w:eastAsiaTheme="minorHAnsi"/>
        </w:rPr>
        <w:t>Analizowana spółka jest spółką akcyjną, więc kapitał zakładowy wyrażony jest w kapitale akcyjnym. Wskaźnik rentowności kapitału zakładowego oznacza więc wielkość zysku przypadającego na jednostkę kapitału akcyjnego. Rentowność kapitału zakładowego wynosiła w 2012 roku 78,12 groszy na 1 złotówkę kapitału akcyjnego, a w roku 2013 wynosi 86,49 groszy. Wzrost rentowności kapitału akcyjnego o 10,71% daje możliwość zwiększenia dywidend dla akcjonariuszy.</w:t>
      </w:r>
    </w:p>
    <w:p w:rsidR="00A73D20" w:rsidRPr="00A20027" w:rsidRDefault="00A20027" w:rsidP="00A20027">
      <w:pPr>
        <w:rPr>
          <w:rFonts w:eastAsiaTheme="minorHAnsi"/>
        </w:rPr>
      </w:pPr>
      <w:r w:rsidRPr="00A20027">
        <w:rPr>
          <w:rFonts w:eastAsiaTheme="minorHAnsi"/>
        </w:rPr>
        <w:pict>
          <v:rect id="_x0000_i1028" style="width:0;height:0" o:hralign="center" o:hrstd="t" o:hrnoshade="t" o:hr="t" fillcolor="#ddd" stroked="f"/>
        </w:pict>
      </w:r>
    </w:p>
    <w:p w:rsidR="00A73D20" w:rsidRPr="00A20027" w:rsidRDefault="00A73D20" w:rsidP="00A20027">
      <w:pPr>
        <w:rPr>
          <w:rFonts w:eastAsiaTheme="minorHAnsi"/>
        </w:rPr>
      </w:pPr>
    </w:p>
    <w:p w:rsidR="0069286B" w:rsidRDefault="0069286B" w:rsidP="0069286B">
      <w:pPr>
        <w:rPr>
          <w:rFonts w:cstheme="minorHAnsi"/>
          <w:sz w:val="18"/>
          <w:szCs w:val="18"/>
        </w:rPr>
      </w:pPr>
    </w:p>
    <w:p w:rsidR="006F205E" w:rsidRPr="00F846EA" w:rsidRDefault="006F205E" w:rsidP="00F846EA"/>
    <w:sectPr w:rsidR="006F205E" w:rsidRPr="00F84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1647A"/>
    <w:multiLevelType w:val="multilevel"/>
    <w:tmpl w:val="E098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6B"/>
    <w:rsid w:val="003662E0"/>
    <w:rsid w:val="00407C93"/>
    <w:rsid w:val="0051647F"/>
    <w:rsid w:val="0069286B"/>
    <w:rsid w:val="006F205E"/>
    <w:rsid w:val="008E662D"/>
    <w:rsid w:val="00A20027"/>
    <w:rsid w:val="00A73D20"/>
    <w:rsid w:val="00F84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86B"/>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A73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286B"/>
    <w:rPr>
      <w:color w:val="0563C1" w:themeColor="hyperlink"/>
      <w:u w:val="single"/>
    </w:rPr>
  </w:style>
  <w:style w:type="character" w:styleId="Pogrubienie">
    <w:name w:val="Strong"/>
    <w:basedOn w:val="Domylnaczcionkaakapitu"/>
    <w:uiPriority w:val="22"/>
    <w:qFormat/>
    <w:rsid w:val="0069286B"/>
    <w:rPr>
      <w:b/>
      <w:bCs/>
    </w:rPr>
  </w:style>
  <w:style w:type="character" w:customStyle="1" w:styleId="UnresolvedMention">
    <w:name w:val="Unresolved Mention"/>
    <w:basedOn w:val="Domylnaczcionkaakapitu"/>
    <w:uiPriority w:val="99"/>
    <w:semiHidden/>
    <w:unhideWhenUsed/>
    <w:rsid w:val="00F846EA"/>
    <w:rPr>
      <w:color w:val="605E5C"/>
      <w:shd w:val="clear" w:color="auto" w:fill="E1DFDD"/>
    </w:rPr>
  </w:style>
  <w:style w:type="character" w:customStyle="1" w:styleId="Nagwek1Znak">
    <w:name w:val="Nagłówek 1 Znak"/>
    <w:basedOn w:val="Domylnaczcionkaakapitu"/>
    <w:link w:val="Nagwek1"/>
    <w:uiPriority w:val="9"/>
    <w:rsid w:val="00A73D20"/>
    <w:rPr>
      <w:rFonts w:asciiTheme="majorHAnsi" w:eastAsiaTheme="majorEastAsia" w:hAnsiTheme="majorHAnsi" w:cstheme="majorBidi"/>
      <w:color w:val="2F5496" w:themeColor="accent1" w:themeShade="BF"/>
      <w:sz w:val="32"/>
      <w:szCs w:val="32"/>
      <w:lang w:eastAsia="pl-PL"/>
    </w:rPr>
  </w:style>
  <w:style w:type="paragraph" w:styleId="Tekstdymka">
    <w:name w:val="Balloon Text"/>
    <w:basedOn w:val="Normalny"/>
    <w:link w:val="TekstdymkaZnak"/>
    <w:uiPriority w:val="99"/>
    <w:semiHidden/>
    <w:unhideWhenUsed/>
    <w:rsid w:val="00A200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027"/>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86B"/>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A73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286B"/>
    <w:rPr>
      <w:color w:val="0563C1" w:themeColor="hyperlink"/>
      <w:u w:val="single"/>
    </w:rPr>
  </w:style>
  <w:style w:type="character" w:styleId="Pogrubienie">
    <w:name w:val="Strong"/>
    <w:basedOn w:val="Domylnaczcionkaakapitu"/>
    <w:uiPriority w:val="22"/>
    <w:qFormat/>
    <w:rsid w:val="0069286B"/>
    <w:rPr>
      <w:b/>
      <w:bCs/>
    </w:rPr>
  </w:style>
  <w:style w:type="character" w:customStyle="1" w:styleId="UnresolvedMention">
    <w:name w:val="Unresolved Mention"/>
    <w:basedOn w:val="Domylnaczcionkaakapitu"/>
    <w:uiPriority w:val="99"/>
    <w:semiHidden/>
    <w:unhideWhenUsed/>
    <w:rsid w:val="00F846EA"/>
    <w:rPr>
      <w:color w:val="605E5C"/>
      <w:shd w:val="clear" w:color="auto" w:fill="E1DFDD"/>
    </w:rPr>
  </w:style>
  <w:style w:type="character" w:customStyle="1" w:styleId="Nagwek1Znak">
    <w:name w:val="Nagłówek 1 Znak"/>
    <w:basedOn w:val="Domylnaczcionkaakapitu"/>
    <w:link w:val="Nagwek1"/>
    <w:uiPriority w:val="9"/>
    <w:rsid w:val="00A73D20"/>
    <w:rPr>
      <w:rFonts w:asciiTheme="majorHAnsi" w:eastAsiaTheme="majorEastAsia" w:hAnsiTheme="majorHAnsi" w:cstheme="majorBidi"/>
      <w:color w:val="2F5496" w:themeColor="accent1" w:themeShade="BF"/>
      <w:sz w:val="32"/>
      <w:szCs w:val="32"/>
      <w:lang w:eastAsia="pl-PL"/>
    </w:rPr>
  </w:style>
  <w:style w:type="paragraph" w:styleId="Tekstdymka">
    <w:name w:val="Balloon Text"/>
    <w:basedOn w:val="Normalny"/>
    <w:link w:val="TekstdymkaZnak"/>
    <w:uiPriority w:val="99"/>
    <w:semiHidden/>
    <w:unhideWhenUsed/>
    <w:rsid w:val="00A200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027"/>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37443">
      <w:bodyDiv w:val="1"/>
      <w:marLeft w:val="0"/>
      <w:marRight w:val="0"/>
      <w:marTop w:val="0"/>
      <w:marBottom w:val="0"/>
      <w:divBdr>
        <w:top w:val="none" w:sz="0" w:space="0" w:color="auto"/>
        <w:left w:val="none" w:sz="0" w:space="0" w:color="auto"/>
        <w:bottom w:val="none" w:sz="0" w:space="0" w:color="auto"/>
        <w:right w:val="none" w:sz="0" w:space="0" w:color="auto"/>
      </w:divBdr>
    </w:div>
    <w:div w:id="1604335396">
      <w:bodyDiv w:val="1"/>
      <w:marLeft w:val="0"/>
      <w:marRight w:val="0"/>
      <w:marTop w:val="0"/>
      <w:marBottom w:val="0"/>
      <w:divBdr>
        <w:top w:val="none" w:sz="0" w:space="0" w:color="auto"/>
        <w:left w:val="none" w:sz="0" w:space="0" w:color="auto"/>
        <w:bottom w:val="none" w:sz="0" w:space="0" w:color="auto"/>
        <w:right w:val="none" w:sz="0" w:space="0" w:color="auto"/>
      </w:divBdr>
      <w:divsChild>
        <w:div w:id="1684018164">
          <w:marLeft w:val="0"/>
          <w:marRight w:val="0"/>
          <w:marTop w:val="312"/>
          <w:marBottom w:val="312"/>
          <w:divBdr>
            <w:top w:val="none" w:sz="0" w:space="0" w:color="auto"/>
            <w:left w:val="single" w:sz="36" w:space="23" w:color="F7F7F7"/>
            <w:bottom w:val="none" w:sz="0" w:space="0" w:color="auto"/>
            <w:right w:val="none" w:sz="0" w:space="0" w:color="auto"/>
          </w:divBdr>
        </w:div>
      </w:divsChild>
    </w:div>
    <w:div w:id="1682273458">
      <w:bodyDiv w:val="1"/>
      <w:marLeft w:val="0"/>
      <w:marRight w:val="0"/>
      <w:marTop w:val="0"/>
      <w:marBottom w:val="0"/>
      <w:divBdr>
        <w:top w:val="none" w:sz="0" w:space="0" w:color="auto"/>
        <w:left w:val="none" w:sz="0" w:space="0" w:color="auto"/>
        <w:bottom w:val="none" w:sz="0" w:space="0" w:color="auto"/>
        <w:right w:val="none" w:sz="0" w:space="0" w:color="auto"/>
      </w:divBdr>
      <w:divsChild>
        <w:div w:id="617873649">
          <w:marLeft w:val="0"/>
          <w:marRight w:val="0"/>
          <w:marTop w:val="150"/>
          <w:marBottom w:val="0"/>
          <w:divBdr>
            <w:top w:val="none" w:sz="0" w:space="0" w:color="auto"/>
            <w:left w:val="none" w:sz="0" w:space="0" w:color="auto"/>
            <w:bottom w:val="none" w:sz="0" w:space="0" w:color="auto"/>
            <w:right w:val="none" w:sz="0" w:space="0" w:color="auto"/>
          </w:divBdr>
        </w:div>
        <w:div w:id="770589550">
          <w:marLeft w:val="0"/>
          <w:marRight w:val="0"/>
          <w:marTop w:val="150"/>
          <w:marBottom w:val="0"/>
          <w:divBdr>
            <w:top w:val="none" w:sz="0" w:space="0" w:color="auto"/>
            <w:left w:val="none" w:sz="0" w:space="0" w:color="auto"/>
            <w:bottom w:val="none" w:sz="0" w:space="0" w:color="auto"/>
            <w:right w:val="none" w:sz="0" w:space="0" w:color="auto"/>
          </w:divBdr>
        </w:div>
      </w:divsChild>
    </w:div>
    <w:div w:id="1967464428">
      <w:bodyDiv w:val="1"/>
      <w:marLeft w:val="0"/>
      <w:marRight w:val="0"/>
      <w:marTop w:val="0"/>
      <w:marBottom w:val="0"/>
      <w:divBdr>
        <w:top w:val="none" w:sz="0" w:space="0" w:color="auto"/>
        <w:left w:val="none" w:sz="0" w:space="0" w:color="auto"/>
        <w:bottom w:val="none" w:sz="0" w:space="0" w:color="auto"/>
        <w:right w:val="none" w:sz="0" w:space="0" w:color="auto"/>
      </w:divBdr>
      <w:divsChild>
        <w:div w:id="908689296">
          <w:marLeft w:val="0"/>
          <w:marRight w:val="0"/>
          <w:marTop w:val="150"/>
          <w:marBottom w:val="0"/>
          <w:divBdr>
            <w:top w:val="none" w:sz="0" w:space="0" w:color="auto"/>
            <w:left w:val="none" w:sz="0" w:space="0" w:color="auto"/>
            <w:bottom w:val="none" w:sz="0" w:space="0" w:color="auto"/>
            <w:right w:val="none" w:sz="0" w:space="0" w:color="auto"/>
          </w:divBdr>
        </w:div>
        <w:div w:id="1638947289">
          <w:marLeft w:val="0"/>
          <w:marRight w:val="0"/>
          <w:marTop w:val="150"/>
          <w:marBottom w:val="0"/>
          <w:divBdr>
            <w:top w:val="none" w:sz="0" w:space="0" w:color="auto"/>
            <w:left w:val="none" w:sz="0" w:space="0" w:color="auto"/>
            <w:bottom w:val="none" w:sz="0" w:space="0" w:color="auto"/>
            <w:right w:val="none" w:sz="0" w:space="0" w:color="auto"/>
          </w:divBdr>
        </w:div>
      </w:divsChild>
    </w:div>
    <w:div w:id="2099016226">
      <w:bodyDiv w:val="1"/>
      <w:marLeft w:val="0"/>
      <w:marRight w:val="0"/>
      <w:marTop w:val="0"/>
      <w:marBottom w:val="0"/>
      <w:divBdr>
        <w:top w:val="none" w:sz="0" w:space="0" w:color="auto"/>
        <w:left w:val="none" w:sz="0" w:space="0" w:color="auto"/>
        <w:bottom w:val="none" w:sz="0" w:space="0" w:color="auto"/>
        <w:right w:val="none" w:sz="0" w:space="0" w:color="auto"/>
      </w:divBdr>
      <w:divsChild>
        <w:div w:id="1482700401">
          <w:marLeft w:val="0"/>
          <w:marRight w:val="0"/>
          <w:marTop w:val="0"/>
          <w:marBottom w:val="428"/>
          <w:divBdr>
            <w:top w:val="none" w:sz="0" w:space="0" w:color="auto"/>
            <w:left w:val="none" w:sz="0" w:space="0" w:color="auto"/>
            <w:bottom w:val="single" w:sz="6" w:space="13" w:color="DDDDDD"/>
            <w:right w:val="none" w:sz="0" w:space="0" w:color="auto"/>
          </w:divBdr>
          <w:divsChild>
            <w:div w:id="820080323">
              <w:marLeft w:val="0"/>
              <w:marRight w:val="0"/>
              <w:marTop w:val="0"/>
              <w:marBottom w:val="0"/>
              <w:divBdr>
                <w:top w:val="none" w:sz="0" w:space="0" w:color="auto"/>
                <w:left w:val="none" w:sz="0" w:space="0" w:color="auto"/>
                <w:bottom w:val="none" w:sz="0" w:space="0" w:color="auto"/>
                <w:right w:val="none" w:sz="0" w:space="0" w:color="auto"/>
              </w:divBdr>
              <w:divsChild>
                <w:div w:id="1634797433">
                  <w:marLeft w:val="0"/>
                  <w:marRight w:val="0"/>
                  <w:marTop w:val="0"/>
                  <w:marBottom w:val="0"/>
                  <w:divBdr>
                    <w:top w:val="none" w:sz="0" w:space="0" w:color="auto"/>
                    <w:left w:val="none" w:sz="0" w:space="0" w:color="auto"/>
                    <w:bottom w:val="none" w:sz="0" w:space="0" w:color="auto"/>
                    <w:right w:val="none" w:sz="0" w:space="0" w:color="auto"/>
                  </w:divBdr>
                  <w:divsChild>
                    <w:div w:id="2145583287">
                      <w:marLeft w:val="0"/>
                      <w:marRight w:val="0"/>
                      <w:marTop w:val="0"/>
                      <w:marBottom w:val="0"/>
                      <w:divBdr>
                        <w:top w:val="none" w:sz="0" w:space="0" w:color="auto"/>
                        <w:left w:val="none" w:sz="0" w:space="0" w:color="auto"/>
                        <w:bottom w:val="none" w:sz="0" w:space="0" w:color="auto"/>
                        <w:right w:val="none" w:sz="0" w:space="0" w:color="auto"/>
                      </w:divBdr>
                      <w:divsChild>
                        <w:div w:id="2141804610">
                          <w:marLeft w:val="0"/>
                          <w:marRight w:val="0"/>
                          <w:marTop w:val="75"/>
                          <w:marBottom w:val="0"/>
                          <w:divBdr>
                            <w:top w:val="none" w:sz="0" w:space="0" w:color="auto"/>
                            <w:left w:val="none" w:sz="0" w:space="0" w:color="auto"/>
                            <w:bottom w:val="none" w:sz="0" w:space="0" w:color="auto"/>
                            <w:right w:val="none" w:sz="0" w:space="0" w:color="auto"/>
                          </w:divBdr>
                          <w:divsChild>
                            <w:div w:id="432629617">
                              <w:marLeft w:val="0"/>
                              <w:marRight w:val="0"/>
                              <w:marTop w:val="0"/>
                              <w:marBottom w:val="0"/>
                              <w:divBdr>
                                <w:top w:val="none" w:sz="0" w:space="0" w:color="auto"/>
                                <w:left w:val="none" w:sz="0" w:space="0" w:color="auto"/>
                                <w:bottom w:val="none" w:sz="0" w:space="0" w:color="auto"/>
                                <w:right w:val="none" w:sz="0" w:space="0" w:color="auto"/>
                              </w:divBdr>
                            </w:div>
                            <w:div w:id="208612036">
                              <w:marLeft w:val="0"/>
                              <w:marRight w:val="0"/>
                              <w:marTop w:val="0"/>
                              <w:marBottom w:val="0"/>
                              <w:divBdr>
                                <w:top w:val="none" w:sz="0" w:space="0" w:color="auto"/>
                                <w:left w:val="none" w:sz="0" w:space="0" w:color="auto"/>
                                <w:bottom w:val="none" w:sz="0" w:space="0" w:color="auto"/>
                                <w:right w:val="none" w:sz="0" w:space="0" w:color="auto"/>
                              </w:divBdr>
                            </w:div>
                            <w:div w:id="985428798">
                              <w:marLeft w:val="0"/>
                              <w:marRight w:val="0"/>
                              <w:marTop w:val="0"/>
                              <w:marBottom w:val="0"/>
                              <w:divBdr>
                                <w:top w:val="none" w:sz="0" w:space="0" w:color="auto"/>
                                <w:left w:val="none" w:sz="0" w:space="0" w:color="auto"/>
                                <w:bottom w:val="none" w:sz="0" w:space="0" w:color="auto"/>
                                <w:right w:val="none" w:sz="0" w:space="0" w:color="auto"/>
                              </w:divBdr>
                            </w:div>
                            <w:div w:id="8186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8933">
          <w:marLeft w:val="0"/>
          <w:marRight w:val="0"/>
          <w:marTop w:val="0"/>
          <w:marBottom w:val="0"/>
          <w:divBdr>
            <w:top w:val="none" w:sz="0" w:space="0" w:color="auto"/>
            <w:left w:val="none" w:sz="0" w:space="0" w:color="auto"/>
            <w:bottom w:val="single" w:sz="6" w:space="0" w:color="DDDDDD"/>
            <w:right w:val="none" w:sz="0" w:space="0" w:color="auto"/>
          </w:divBdr>
          <w:divsChild>
            <w:div w:id="1782148345">
              <w:marLeft w:val="0"/>
              <w:marRight w:val="0"/>
              <w:marTop w:val="0"/>
              <w:marBottom w:val="686"/>
              <w:divBdr>
                <w:top w:val="none" w:sz="0" w:space="0" w:color="auto"/>
                <w:left w:val="none" w:sz="0" w:space="0" w:color="auto"/>
                <w:bottom w:val="none" w:sz="0" w:space="0" w:color="auto"/>
                <w:right w:val="none" w:sz="0" w:space="0" w:color="auto"/>
              </w:divBdr>
              <w:divsChild>
                <w:div w:id="411898357">
                  <w:marLeft w:val="0"/>
                  <w:marRight w:val="0"/>
                  <w:marTop w:val="0"/>
                  <w:marBottom w:val="0"/>
                  <w:divBdr>
                    <w:top w:val="none" w:sz="0" w:space="0" w:color="auto"/>
                    <w:left w:val="none" w:sz="0" w:space="0" w:color="auto"/>
                    <w:bottom w:val="none" w:sz="0" w:space="0" w:color="auto"/>
                    <w:right w:val="none" w:sz="0" w:space="0" w:color="auto"/>
                  </w:divBdr>
                </w:div>
                <w:div w:id="41904989">
                  <w:marLeft w:val="0"/>
                  <w:marRight w:val="0"/>
                  <w:marTop w:val="0"/>
                  <w:marBottom w:val="0"/>
                  <w:divBdr>
                    <w:top w:val="none" w:sz="0" w:space="0" w:color="auto"/>
                    <w:left w:val="none" w:sz="0" w:space="0" w:color="auto"/>
                    <w:bottom w:val="none" w:sz="0" w:space="0" w:color="auto"/>
                    <w:right w:val="none" w:sz="0" w:space="0" w:color="auto"/>
                  </w:divBdr>
                </w:div>
                <w:div w:id="109664231">
                  <w:marLeft w:val="0"/>
                  <w:marRight w:val="0"/>
                  <w:marTop w:val="0"/>
                  <w:marBottom w:val="0"/>
                  <w:divBdr>
                    <w:top w:val="none" w:sz="0" w:space="0" w:color="auto"/>
                    <w:left w:val="none" w:sz="0" w:space="0" w:color="auto"/>
                    <w:bottom w:val="none" w:sz="0" w:space="0" w:color="auto"/>
                    <w:right w:val="none" w:sz="0" w:space="0" w:color="auto"/>
                  </w:divBdr>
                </w:div>
                <w:div w:id="1808888999">
                  <w:marLeft w:val="0"/>
                  <w:marRight w:val="0"/>
                  <w:marTop w:val="0"/>
                  <w:marBottom w:val="0"/>
                  <w:divBdr>
                    <w:top w:val="none" w:sz="0" w:space="0" w:color="auto"/>
                    <w:left w:val="none" w:sz="0" w:space="0" w:color="auto"/>
                    <w:bottom w:val="none" w:sz="0" w:space="0" w:color="auto"/>
                    <w:right w:val="none" w:sz="0" w:space="0" w:color="auto"/>
                  </w:divBdr>
                </w:div>
                <w:div w:id="1141582521">
                  <w:marLeft w:val="0"/>
                  <w:marRight w:val="0"/>
                  <w:marTop w:val="0"/>
                  <w:marBottom w:val="0"/>
                  <w:divBdr>
                    <w:top w:val="none" w:sz="0" w:space="0" w:color="auto"/>
                    <w:left w:val="none" w:sz="0" w:space="0" w:color="auto"/>
                    <w:bottom w:val="none" w:sz="0" w:space="0" w:color="auto"/>
                    <w:right w:val="none" w:sz="0" w:space="0" w:color="auto"/>
                  </w:divBdr>
                </w:div>
                <w:div w:id="148331114">
                  <w:marLeft w:val="0"/>
                  <w:marRight w:val="0"/>
                  <w:marTop w:val="0"/>
                  <w:marBottom w:val="0"/>
                  <w:divBdr>
                    <w:top w:val="none" w:sz="0" w:space="0" w:color="auto"/>
                    <w:left w:val="none" w:sz="0" w:space="0" w:color="auto"/>
                    <w:bottom w:val="none" w:sz="0" w:space="0" w:color="auto"/>
                    <w:right w:val="none" w:sz="0" w:space="0" w:color="auto"/>
                  </w:divBdr>
                </w:div>
                <w:div w:id="878593141">
                  <w:marLeft w:val="0"/>
                  <w:marRight w:val="0"/>
                  <w:marTop w:val="0"/>
                  <w:marBottom w:val="0"/>
                  <w:divBdr>
                    <w:top w:val="none" w:sz="0" w:space="0" w:color="auto"/>
                    <w:left w:val="none" w:sz="0" w:space="0" w:color="auto"/>
                    <w:bottom w:val="none" w:sz="0" w:space="0" w:color="auto"/>
                    <w:right w:val="none" w:sz="0" w:space="0" w:color="auto"/>
                  </w:divBdr>
                </w:div>
                <w:div w:id="1251041829">
                  <w:marLeft w:val="0"/>
                  <w:marRight w:val="0"/>
                  <w:marTop w:val="0"/>
                  <w:marBottom w:val="0"/>
                  <w:divBdr>
                    <w:top w:val="none" w:sz="0" w:space="0" w:color="auto"/>
                    <w:left w:val="none" w:sz="0" w:space="0" w:color="auto"/>
                    <w:bottom w:val="none" w:sz="0" w:space="0" w:color="auto"/>
                    <w:right w:val="none" w:sz="0" w:space="0" w:color="auto"/>
                  </w:divBdr>
                </w:div>
                <w:div w:id="1251741832">
                  <w:marLeft w:val="0"/>
                  <w:marRight w:val="0"/>
                  <w:marTop w:val="0"/>
                  <w:marBottom w:val="0"/>
                  <w:divBdr>
                    <w:top w:val="none" w:sz="0" w:space="0" w:color="auto"/>
                    <w:left w:val="none" w:sz="0" w:space="0" w:color="auto"/>
                    <w:bottom w:val="none" w:sz="0" w:space="0" w:color="auto"/>
                    <w:right w:val="none" w:sz="0" w:space="0" w:color="auto"/>
                  </w:divBdr>
                </w:div>
                <w:div w:id="879903084">
                  <w:marLeft w:val="0"/>
                  <w:marRight w:val="0"/>
                  <w:marTop w:val="0"/>
                  <w:marBottom w:val="0"/>
                  <w:divBdr>
                    <w:top w:val="none" w:sz="0" w:space="0" w:color="auto"/>
                    <w:left w:val="none" w:sz="0" w:space="0" w:color="auto"/>
                    <w:bottom w:val="none" w:sz="0" w:space="0" w:color="auto"/>
                    <w:right w:val="none" w:sz="0" w:space="0" w:color="auto"/>
                  </w:divBdr>
                </w:div>
                <w:div w:id="19956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ekonomista100.pl/wp-content/uploads/2014/08/wska%C5%BAnik-rentowno%C5%9Bci-3.jpg"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hyperlink" Target="https://docplayer.pl/2389752-Biznes-plan-w-praktyce.html" TargetMode="External"/><Relationship Id="rId12" Type="http://schemas.openxmlformats.org/officeDocument/2006/relationships/hyperlink" Target="https://ekonomista100.pl/wp-content/uploads/2014/08/w.-rentownosci-bilans.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ekonomista100.pl/wp-content/uploads/2014/08/wska%C5%BAnik-rentowno%C5%9Bci-2.jpg" TargetMode="External"/><Relationship Id="rId20" Type="http://schemas.openxmlformats.org/officeDocument/2006/relationships/hyperlink" Target="https://ekonomista100.pl/wp-content/uploads/2014/08/wska%C5%BAnik-rentowno%C5%9Bci-4.jpg" TargetMode="External"/><Relationship Id="rId1" Type="http://schemas.openxmlformats.org/officeDocument/2006/relationships/numbering" Target="numbering.xml"/><Relationship Id="rId6" Type="http://schemas.openxmlformats.org/officeDocument/2006/relationships/hyperlink" Target="https://poradnikprzedsiebiorcy.pl/-analiza-wskaznikowa-przedsiebiorstwa-wskazniki-rentownosci"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ekonomista100.pl/wp-content/uploads/2014/08/w.-rentownosci.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konomista100.pl/wp-content/uploads/2014/08/wska%C5%BAnik-rentowno%C5%9Bci-1.jp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610</Words>
  <Characters>3662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Uczen</cp:lastModifiedBy>
  <cp:revision>2</cp:revision>
  <dcterms:created xsi:type="dcterms:W3CDTF">2020-06-03T09:24:00Z</dcterms:created>
  <dcterms:modified xsi:type="dcterms:W3CDTF">2020-06-03T09:24:00Z</dcterms:modified>
</cp:coreProperties>
</file>